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7A" w:rsidRDefault="00414114" w:rsidP="00A945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pt;margin-top:9.9pt;width:283pt;height:164pt;z-index:-251657216;mso-width-relative:margin;mso-height-relative:margin">
            <v:textbox>
              <w:txbxContent>
                <w:p w:rsidR="00245936" w:rsidRDefault="00245936" w:rsidP="0024593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</w:rPr>
                    <w:t>In the 1920’s, a young woman considered bold and unconventional that smoked cigarettes and drank alcohol</w:t>
                  </w:r>
                </w:p>
                <w:p w:rsidR="008D0C7A" w:rsidRPr="008D0C7A" w:rsidRDefault="008D0C7A" w:rsidP="008D0C7A">
                  <w:pPr>
                    <w:keepLine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8D0C7A" w:rsidRPr="00BE387E" w:rsidRDefault="008D0C7A" w:rsidP="008D0C7A"/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026" type="#_x0000_t202" style="position:absolute;margin-left:-42pt;margin-top:9.9pt;width:283pt;height:164pt;z-index:-251658240;mso-width-relative:margin;mso-height-relative:margin">
            <v:textbox>
              <w:txbxContent>
                <w:p w:rsidR="008D0C7A" w:rsidRPr="008D0C7A" w:rsidRDefault="00245936" w:rsidP="008D0C7A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Flapper</w:t>
                  </w:r>
                </w:p>
              </w:txbxContent>
            </v:textbox>
          </v:shape>
        </w:pict>
      </w:r>
    </w:p>
    <w:p w:rsidR="008D0C7A" w:rsidRDefault="008D0C7A" w:rsidP="00A94581">
      <w:pPr>
        <w:rPr>
          <w:rFonts w:ascii="Arial" w:hAnsi="Arial" w:cs="Arial"/>
          <w:b/>
          <w:bCs/>
        </w:rPr>
      </w:pPr>
    </w:p>
    <w:p w:rsidR="008D0C7A" w:rsidRDefault="008D0C7A" w:rsidP="00A94581">
      <w:pPr>
        <w:rPr>
          <w:rFonts w:ascii="Arial" w:hAnsi="Arial" w:cs="Arial"/>
          <w:b/>
          <w:bCs/>
        </w:rPr>
      </w:pPr>
    </w:p>
    <w:p w:rsidR="008D0C7A" w:rsidRDefault="008D0C7A" w:rsidP="00A94581">
      <w:pPr>
        <w:rPr>
          <w:rFonts w:ascii="Arial" w:hAnsi="Arial" w:cs="Arial"/>
          <w:b/>
          <w:bCs/>
        </w:rPr>
      </w:pPr>
    </w:p>
    <w:p w:rsidR="008D0C7A" w:rsidRDefault="008D0C7A" w:rsidP="00A94581">
      <w:pPr>
        <w:rPr>
          <w:rFonts w:ascii="Arial" w:hAnsi="Arial" w:cs="Arial"/>
          <w:b/>
          <w:bCs/>
        </w:rPr>
      </w:pPr>
    </w:p>
    <w:p w:rsidR="008D0C7A" w:rsidRDefault="008D0C7A" w:rsidP="00A94581">
      <w:pPr>
        <w:rPr>
          <w:rFonts w:ascii="Arial" w:hAnsi="Arial" w:cs="Arial"/>
          <w:b/>
          <w:bCs/>
        </w:rPr>
      </w:pPr>
    </w:p>
    <w:p w:rsidR="008D0C7A" w:rsidRDefault="008D0C7A" w:rsidP="00A94581">
      <w:pPr>
        <w:rPr>
          <w:rFonts w:ascii="Arial" w:hAnsi="Arial" w:cs="Arial"/>
          <w:b/>
          <w:bCs/>
        </w:rPr>
      </w:pPr>
    </w:p>
    <w:p w:rsidR="008D0C7A" w:rsidRDefault="008D0C7A" w:rsidP="00A94581">
      <w:pPr>
        <w:rPr>
          <w:rFonts w:ascii="Arial" w:hAnsi="Arial" w:cs="Arial"/>
          <w:b/>
          <w:bCs/>
        </w:rPr>
      </w:pPr>
    </w:p>
    <w:p w:rsidR="008D0C7A" w:rsidRDefault="008D0C7A" w:rsidP="00A94581">
      <w:pPr>
        <w:rPr>
          <w:rFonts w:ascii="Arial" w:hAnsi="Arial" w:cs="Arial"/>
          <w:b/>
          <w:bCs/>
        </w:rPr>
      </w:pPr>
    </w:p>
    <w:p w:rsidR="008D0C7A" w:rsidRDefault="008D0C7A" w:rsidP="00A94581">
      <w:pPr>
        <w:rPr>
          <w:rFonts w:ascii="Arial" w:hAnsi="Arial" w:cs="Arial"/>
          <w:b/>
          <w:bCs/>
        </w:rPr>
      </w:pPr>
    </w:p>
    <w:p w:rsidR="008D0C7A" w:rsidRDefault="008D0C7A" w:rsidP="00A94581">
      <w:pPr>
        <w:rPr>
          <w:rFonts w:ascii="Arial" w:hAnsi="Arial" w:cs="Arial"/>
          <w:b/>
          <w:bCs/>
        </w:rPr>
      </w:pPr>
    </w:p>
    <w:p w:rsidR="008D0C7A" w:rsidRDefault="008D0C7A" w:rsidP="00A94581">
      <w:pPr>
        <w:rPr>
          <w:rFonts w:ascii="Arial" w:hAnsi="Arial" w:cs="Arial"/>
          <w:b/>
          <w:bCs/>
        </w:rPr>
      </w:pPr>
    </w:p>
    <w:p w:rsidR="008D0C7A" w:rsidRDefault="008D0C7A" w:rsidP="00A94581">
      <w:pPr>
        <w:rPr>
          <w:rFonts w:ascii="Arial" w:hAnsi="Arial" w:cs="Arial"/>
          <w:b/>
          <w:bCs/>
        </w:rPr>
      </w:pPr>
    </w:p>
    <w:p w:rsidR="008D0C7A" w:rsidRDefault="00414114" w:rsidP="008D0C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29" type="#_x0000_t202" style="position:absolute;margin-left:241pt;margin-top:3pt;width:283pt;height:164pt;z-index:-251654144;mso-width-relative:margin;mso-height-relative:margin">
            <v:textbox>
              <w:txbxContent>
                <w:p w:rsidR="008D0C7A" w:rsidRPr="00BE387E" w:rsidRDefault="008D0C7A" w:rsidP="008D0C7A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028" type="#_x0000_t202" style="position:absolute;margin-left:-42pt;margin-top:3pt;width:283pt;height:164pt;z-index:-251655168;mso-width-relative:margin;mso-height-relative:margin">
            <v:textbox>
              <w:txbxContent>
                <w:p w:rsidR="008D0C7A" w:rsidRPr="00AB2CB5" w:rsidRDefault="00414114" w:rsidP="008D0C7A">
                  <w:pPr>
                    <w:rPr>
                      <w:rFonts w:ascii="Arial" w:hAnsi="Arial"/>
                      <w:color w:val="333333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Emergency Quota Act</w:t>
                  </w:r>
                </w:p>
                <w:p w:rsidR="008D0C7A" w:rsidRPr="008D0C7A" w:rsidRDefault="008D0C7A" w:rsidP="008D0C7A"/>
              </w:txbxContent>
            </v:textbox>
          </v:shape>
        </w:pict>
      </w: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414114" w:rsidP="008D0C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1" type="#_x0000_t202" style="position:absolute;margin-left:241pt;margin-top:9.95pt;width:283pt;height:164pt;z-index:-251651072;mso-width-relative:margin;mso-height-relative:margin">
            <v:textbox>
              <w:txbxContent>
                <w:p w:rsidR="00245936" w:rsidRDefault="00245936" w:rsidP="0024593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eastAsiaTheme="minorHAnsi" w:hAnsi="Arial" w:cs="Arial"/>
                      <w:color w:val="000000"/>
                    </w:rPr>
                    <w:t>The forbidding by law of the manufacture and sale of alcoholic beverages.</w:t>
                  </w:r>
                  <w:proofErr w:type="gramEnd"/>
                </w:p>
                <w:p w:rsidR="008D0C7A" w:rsidRPr="00BE387E" w:rsidRDefault="008D0C7A" w:rsidP="008D0C7A"/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030" type="#_x0000_t202" style="position:absolute;margin-left:-42pt;margin-top:9.95pt;width:283pt;height:164pt;z-index:-251652096;mso-width-relative:margin;mso-height-relative:margin">
            <v:textbox>
              <w:txbxContent>
                <w:p w:rsidR="008D0C7A" w:rsidRPr="00AB2CB5" w:rsidRDefault="00245936" w:rsidP="008D0C7A">
                  <w:pPr>
                    <w:rPr>
                      <w:rFonts w:ascii="Arial" w:hAnsi="Arial"/>
                      <w:color w:val="333333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Prohibition</w:t>
                  </w:r>
                </w:p>
                <w:p w:rsidR="008D0C7A" w:rsidRPr="008D0C7A" w:rsidRDefault="008D0C7A" w:rsidP="008D0C7A"/>
              </w:txbxContent>
            </v:textbox>
          </v:shape>
        </w:pict>
      </w: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414114" w:rsidP="008D0C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3" type="#_x0000_t202" style="position:absolute;margin-left:241pt;margin-top:1.55pt;width:283pt;height:164pt;z-index:-251649024;mso-width-relative:margin;mso-height-relative:margin">
            <v:textbox>
              <w:txbxContent>
                <w:p w:rsidR="00245936" w:rsidRDefault="00245936" w:rsidP="0024593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eastAsiaTheme="minorHAnsi" w:hAnsi="Arial" w:cs="Arial"/>
                      <w:color w:val="000000"/>
                    </w:rPr>
                    <w:t>The public reaction in 1919 to the formation of communist parties in the United States, resulting in the arrest and deportation of many communists and socialists.</w:t>
                  </w:r>
                  <w:proofErr w:type="gramEnd"/>
                </w:p>
                <w:p w:rsidR="008D0C7A" w:rsidRPr="00245936" w:rsidRDefault="008D0C7A" w:rsidP="00245936"/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032" type="#_x0000_t202" style="position:absolute;margin-left:-42pt;margin-top:1.55pt;width:283pt;height:164pt;z-index:-251650048;mso-width-relative:margin;mso-height-relative:margin">
            <v:textbox>
              <w:txbxContent>
                <w:p w:rsidR="008D0C7A" w:rsidRPr="00AB2CB5" w:rsidRDefault="00245936" w:rsidP="008D0C7A">
                  <w:pPr>
                    <w:keepLines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200"/>
                    <w:rPr>
                      <w:rFonts w:ascii="Arial" w:hAnsi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Red Scare</w:t>
                  </w:r>
                </w:p>
                <w:p w:rsidR="008D0C7A" w:rsidRDefault="008D0C7A" w:rsidP="008D0C7A">
                  <w:pPr>
                    <w:rPr>
                      <w:rFonts w:ascii="Arial" w:hAnsi="Arial"/>
                      <w:color w:val="333333"/>
                    </w:rPr>
                  </w:pPr>
                </w:p>
                <w:p w:rsidR="008D0C7A" w:rsidRPr="008D0C7A" w:rsidRDefault="008D0C7A" w:rsidP="008D0C7A"/>
              </w:txbxContent>
            </v:textbox>
          </v:shape>
        </w:pict>
      </w: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414114" w:rsidP="008D0C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pict>
          <v:shape id="_x0000_s1035" type="#_x0000_t202" style="position:absolute;margin-left:241pt;margin-top:9.9pt;width:283pt;height:164pt;z-index:-251645952;mso-width-relative:margin;mso-height-relative:margin">
            <v:textbox>
              <w:txbxContent>
                <w:p w:rsidR="008D0C7A" w:rsidRPr="00BE387E" w:rsidRDefault="008D0C7A" w:rsidP="008D0C7A"/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034" type="#_x0000_t202" style="position:absolute;margin-left:-42pt;margin-top:9.9pt;width:283pt;height:164pt;z-index:-251646976;mso-width-relative:margin;mso-height-relative:margin">
            <v:textbox>
              <w:txbxContent>
                <w:p w:rsidR="00CD4689" w:rsidRPr="00AB2CB5" w:rsidRDefault="00414114" w:rsidP="00CD4689">
                  <w:pPr>
                    <w:rPr>
                      <w:rFonts w:ascii="Arial" w:hAnsi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National Origins Act</w:t>
                  </w:r>
                </w:p>
                <w:p w:rsidR="008D0C7A" w:rsidRPr="00CD4689" w:rsidRDefault="008D0C7A" w:rsidP="00CD4689"/>
              </w:txbxContent>
            </v:textbox>
          </v:shape>
        </w:pict>
      </w: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414114" w:rsidP="008D0C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7" type="#_x0000_t202" style="position:absolute;margin-left:241pt;margin-top:3pt;width:283pt;height:164pt;z-index:-251643904;mso-width-relative:margin;mso-height-relative:margin">
            <v:textbox>
              <w:txbxContent>
                <w:p w:rsidR="00245936" w:rsidRDefault="00245936" w:rsidP="0024593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eastAsiaTheme="minorHAnsi" w:hAnsi="Arial" w:cs="Arial"/>
                      <w:color w:val="000000"/>
                    </w:rPr>
                    <w:t>1919 amendment which banned people from making, selling, or transporting liquor.</w:t>
                  </w:r>
                  <w:proofErr w:type="gramEnd"/>
                </w:p>
                <w:p w:rsidR="008D0C7A" w:rsidRPr="00245936" w:rsidRDefault="008D0C7A" w:rsidP="00245936"/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036" type="#_x0000_t202" style="position:absolute;margin-left:-42pt;margin-top:3pt;width:283pt;height:164pt;z-index:-251644928;mso-width-relative:margin;mso-height-relative:margin">
            <v:textbox>
              <w:txbxContent>
                <w:p w:rsidR="00CD4689" w:rsidRPr="00AB2CB5" w:rsidRDefault="00245936" w:rsidP="00CD4689">
                  <w:pP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18</w:t>
                  </w:r>
                  <w:r w:rsidRPr="00245936">
                    <w:rPr>
                      <w:rFonts w:ascii="Arial" w:hAnsi="Arial" w:cs="Arial"/>
                      <w:b/>
                      <w:bCs/>
                      <w:sz w:val="56"/>
                      <w:szCs w:val="5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 xml:space="preserve"> Amendment</w:t>
                  </w:r>
                </w:p>
                <w:p w:rsidR="008D0C7A" w:rsidRPr="008D0C7A" w:rsidRDefault="008D0C7A" w:rsidP="008D0C7A"/>
              </w:txbxContent>
            </v:textbox>
          </v:shape>
        </w:pict>
      </w: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414114" w:rsidP="008D0C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9" type="#_x0000_t202" style="position:absolute;margin-left:241pt;margin-top:9.95pt;width:283pt;height:164pt;z-index:-251641856;mso-width-relative:margin;mso-height-relative:margin">
            <v:textbox>
              <w:txbxContent>
                <w:p w:rsidR="00245936" w:rsidRDefault="00245936" w:rsidP="0024593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eastAsiaTheme="minorHAnsi" w:hAnsi="Arial" w:cs="Arial"/>
                      <w:color w:val="000000"/>
                    </w:rPr>
                    <w:t>A belief in the literal interpretation of a particular religious doctrine or holy books.</w:t>
                  </w:r>
                  <w:proofErr w:type="gramEnd"/>
                </w:p>
                <w:p w:rsidR="008D0C7A" w:rsidRPr="00245936" w:rsidRDefault="008D0C7A" w:rsidP="00245936"/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038" type="#_x0000_t202" style="position:absolute;margin-left:-42pt;margin-top:9.95pt;width:283pt;height:164pt;z-index:-251642880;mso-width-relative:margin;mso-height-relative:margin">
            <v:textbox>
              <w:txbxContent>
                <w:p w:rsidR="00CD4689" w:rsidRPr="00AB2CB5" w:rsidRDefault="00245936" w:rsidP="00CD4689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Fundamentalism</w:t>
                  </w:r>
                </w:p>
                <w:p w:rsidR="008D0C7A" w:rsidRDefault="008D0C7A" w:rsidP="008D0C7A">
                  <w:pPr>
                    <w:rPr>
                      <w:rFonts w:ascii="Arial" w:hAnsi="Arial"/>
                      <w:color w:val="333333"/>
                    </w:rPr>
                  </w:pPr>
                </w:p>
                <w:p w:rsidR="008D0C7A" w:rsidRPr="008D0C7A" w:rsidRDefault="008D0C7A" w:rsidP="008D0C7A"/>
              </w:txbxContent>
            </v:textbox>
          </v:shape>
        </w:pict>
      </w: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414114" w:rsidP="008D0C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41" type="#_x0000_t202" style="position:absolute;margin-left:241pt;margin-top:1.55pt;width:283pt;height:164pt;z-index:-251639808;mso-width-relative:margin;mso-height-relative:margin">
            <v:textbox>
              <w:txbxContent>
                <w:p w:rsidR="00245936" w:rsidRDefault="00245936" w:rsidP="0024593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eastAsiaTheme="minorHAnsi" w:hAnsi="Arial" w:cs="Arial"/>
                      <w:color w:val="000000"/>
                    </w:rPr>
                    <w:t>A period after World War I in which African Americans left the south for the north and west to seek better opportunities.</w:t>
                  </w:r>
                  <w:proofErr w:type="gramEnd"/>
                </w:p>
                <w:p w:rsidR="008D0C7A" w:rsidRPr="00245936" w:rsidRDefault="008D0C7A" w:rsidP="00245936"/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040" type="#_x0000_t202" style="position:absolute;margin-left:-42pt;margin-top:1.55pt;width:283pt;height:164pt;z-index:-251640832;mso-width-relative:margin;mso-height-relative:margin">
            <v:textbox>
              <w:txbxContent>
                <w:p w:rsidR="00CD4689" w:rsidRPr="00AB2CB5" w:rsidRDefault="00245936" w:rsidP="00CD4689">
                  <w:pPr>
                    <w:keepLines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200"/>
                    <w:rPr>
                      <w:rFonts w:ascii="Arial" w:hAnsi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 xml:space="preserve">Great Migration </w:t>
                  </w:r>
                </w:p>
                <w:p w:rsidR="008D0C7A" w:rsidRDefault="008D0C7A" w:rsidP="008D0C7A">
                  <w:pPr>
                    <w:rPr>
                      <w:rFonts w:ascii="Arial" w:hAnsi="Arial"/>
                      <w:color w:val="333333"/>
                    </w:rPr>
                  </w:pPr>
                </w:p>
                <w:p w:rsidR="008D0C7A" w:rsidRPr="008D0C7A" w:rsidRDefault="008D0C7A" w:rsidP="008D0C7A"/>
              </w:txbxContent>
            </v:textbox>
          </v:shape>
        </w:pict>
      </w: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414114" w:rsidP="00CD46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pict>
          <v:shape id="_x0000_s1043" type="#_x0000_t202" style="position:absolute;margin-left:241pt;margin-top:3pt;width:283pt;height:164pt;z-index:-251636736;mso-width-relative:margin;mso-height-relative:margin">
            <v:textbox>
              <w:txbxContent>
                <w:p w:rsidR="00245936" w:rsidRDefault="00245936" w:rsidP="0024593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</w:rPr>
                    <w:t>Blossoming of African American art and literature that began in the 1920’s</w:t>
                  </w:r>
                </w:p>
                <w:p w:rsidR="00CD4689" w:rsidRPr="00245936" w:rsidRDefault="00CD4689" w:rsidP="00245936"/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042" type="#_x0000_t202" style="position:absolute;margin-left:-42pt;margin-top:3pt;width:283pt;height:164pt;z-index:-251637760;mso-width-relative:margin;mso-height-relative:margin">
            <v:textbox>
              <w:txbxContent>
                <w:p w:rsidR="00CD4689" w:rsidRPr="00AB2CB5" w:rsidRDefault="00245936" w:rsidP="00CD4689">
                  <w:pPr>
                    <w:rPr>
                      <w:rFonts w:ascii="Arial" w:hAnsi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Harlem Renaissance</w:t>
                  </w:r>
                </w:p>
                <w:p w:rsidR="00CD4689" w:rsidRPr="008D0C7A" w:rsidRDefault="00CD4689" w:rsidP="00CD4689"/>
              </w:txbxContent>
            </v:textbox>
          </v:shape>
        </w:pict>
      </w: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414114" w:rsidP="00CD46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45" type="#_x0000_t202" style="position:absolute;margin-left:241pt;margin-top:9.95pt;width:283pt;height:164pt;z-index:-251634688;mso-width-relative:margin;mso-height-relative:margin">
            <v:textbox>
              <w:txbxContent>
                <w:p w:rsidR="00CD4689" w:rsidRPr="00245936" w:rsidRDefault="00CD4689" w:rsidP="00245936"/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044" type="#_x0000_t202" style="position:absolute;margin-left:-42pt;margin-top:9.95pt;width:283pt;height:164pt;z-index:-251635712;mso-width-relative:margin;mso-height-relative:margin">
            <v:textbox>
              <w:txbxContent>
                <w:p w:rsidR="00CD4689" w:rsidRPr="00AB2CB5" w:rsidRDefault="00414114" w:rsidP="00CD4689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Volstead Act</w:t>
                  </w:r>
                </w:p>
                <w:p w:rsidR="00CD4689" w:rsidRDefault="00CD4689" w:rsidP="00CD4689">
                  <w:pPr>
                    <w:rPr>
                      <w:rFonts w:ascii="Arial" w:hAnsi="Arial"/>
                      <w:color w:val="333333"/>
                    </w:rPr>
                  </w:pPr>
                </w:p>
                <w:p w:rsidR="00CD4689" w:rsidRPr="008D0C7A" w:rsidRDefault="00CD4689" w:rsidP="00CD4689"/>
              </w:txbxContent>
            </v:textbox>
          </v:shape>
        </w:pict>
      </w: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414114" w:rsidP="00CD46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47" type="#_x0000_t202" style="position:absolute;margin-left:241pt;margin-top:1.55pt;width:283pt;height:164pt;z-index:-251632640;mso-width-relative:margin;mso-height-relative:margin">
            <v:textbox>
              <w:txbxContent>
                <w:p w:rsidR="00245936" w:rsidRDefault="00245936" w:rsidP="0024593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</w:rPr>
                    <w:t xml:space="preserve">An economic and social system in which there is one political </w:t>
                  </w:r>
                  <w:proofErr w:type="spellStart"/>
                  <w:r>
                    <w:rPr>
                      <w:rFonts w:ascii="Arial" w:eastAsiaTheme="minorHAnsi" w:hAnsi="Arial" w:cs="Arial"/>
                      <w:color w:val="000000"/>
                    </w:rPr>
                    <w:t>party</w:t>
                  </w:r>
                  <w:proofErr w:type="gramStart"/>
                  <w:r>
                    <w:rPr>
                      <w:rFonts w:ascii="Arial" w:eastAsiaTheme="minorHAnsi" w:hAnsi="Arial" w:cs="Arial"/>
                      <w:color w:val="000000"/>
                    </w:rPr>
                    <w:t>,the</w:t>
                  </w:r>
                  <w:proofErr w:type="spellEnd"/>
                  <w:proofErr w:type="gramEnd"/>
                  <w:r>
                    <w:rPr>
                      <w:rFonts w:ascii="Arial" w:eastAsiaTheme="minorHAnsi" w:hAnsi="Arial" w:cs="Arial"/>
                      <w:color w:val="000000"/>
                    </w:rPr>
                    <w:t xml:space="preserve"> needs of the state are emphasized over those of the individual, and all property is owned and controlled by the government.</w:t>
                  </w:r>
                </w:p>
                <w:p w:rsidR="00CD4689" w:rsidRPr="00245936" w:rsidRDefault="00CD4689" w:rsidP="00245936"/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046" type="#_x0000_t202" style="position:absolute;margin-left:-42pt;margin-top:1.55pt;width:283pt;height:164pt;z-index:-251633664;mso-width-relative:margin;mso-height-relative:margin">
            <v:textbox>
              <w:txbxContent>
                <w:p w:rsidR="00CD4689" w:rsidRPr="00AB2CB5" w:rsidRDefault="00245936" w:rsidP="00CD4689">
                  <w:pPr>
                    <w:rPr>
                      <w:rFonts w:ascii="Arial" w:hAnsi="Arial"/>
                      <w:color w:val="333333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Communism</w:t>
                  </w:r>
                </w:p>
                <w:p w:rsidR="00CD4689" w:rsidRDefault="00CD4689" w:rsidP="00CD4689">
                  <w:pPr>
                    <w:rPr>
                      <w:rFonts w:ascii="Arial" w:hAnsi="Arial"/>
                      <w:color w:val="333333"/>
                    </w:rPr>
                  </w:pPr>
                </w:p>
                <w:p w:rsidR="00CD4689" w:rsidRPr="008D0C7A" w:rsidRDefault="00CD4689" w:rsidP="00CD4689"/>
              </w:txbxContent>
            </v:textbox>
          </v:shape>
        </w:pict>
      </w: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414114" w:rsidP="00CD46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49" type="#_x0000_t202" style="position:absolute;margin-left:241pt;margin-top:3pt;width:283pt;height:164pt;z-index:-251629568;mso-width-relative:margin;mso-height-relative:margin">
            <v:textbox>
              <w:txbxContent>
                <w:p w:rsidR="00245936" w:rsidRDefault="00245936" w:rsidP="0024593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eastAsiaTheme="minorHAnsi" w:hAnsi="Arial" w:cs="Arial"/>
                      <w:color w:val="000000"/>
                    </w:rPr>
                    <w:t>A place where alcoholic drinks are sold illegally, especially such a place in the United States during Prohibition.</w:t>
                  </w:r>
                  <w:proofErr w:type="gramEnd"/>
                </w:p>
                <w:p w:rsidR="00CD4689" w:rsidRPr="00245936" w:rsidRDefault="00CD4689" w:rsidP="00245936"/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048" type="#_x0000_t202" style="position:absolute;margin-left:-42pt;margin-top:3pt;width:283pt;height:164pt;z-index:-251630592;mso-width-relative:margin;mso-height-relative:margin">
            <v:textbox>
              <w:txbxContent>
                <w:p w:rsidR="00CD4689" w:rsidRPr="00AB2CB5" w:rsidRDefault="00245936" w:rsidP="00CD4689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color w:val="333333"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color w:val="333333"/>
                      <w:sz w:val="56"/>
                      <w:szCs w:val="56"/>
                    </w:rPr>
                    <w:t>Speakeasy</w:t>
                  </w:r>
                </w:p>
                <w:p w:rsidR="00CD4689" w:rsidRPr="008D0C7A" w:rsidRDefault="00CD4689" w:rsidP="00CD4689"/>
              </w:txbxContent>
            </v:textbox>
          </v:shape>
        </w:pict>
      </w: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414114" w:rsidP="00CD46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pict>
          <v:shape id="_x0000_s1051" type="#_x0000_t202" style="position:absolute;margin-left:241pt;margin-top:9.95pt;width:283pt;height:164pt;z-index:-251627520;mso-width-relative:margin;mso-height-relative:margin">
            <v:textbox>
              <w:txbxContent>
                <w:p w:rsidR="00245936" w:rsidRDefault="00245936" w:rsidP="0024593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</w:rPr>
                    <w:t>A person that favors a native-born citizen over immigrants</w:t>
                  </w:r>
                </w:p>
                <w:p w:rsidR="00CD4689" w:rsidRPr="00245936" w:rsidRDefault="00CD4689" w:rsidP="00245936"/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050" type="#_x0000_t202" style="position:absolute;margin-left:-42pt;margin-top:9.95pt;width:283pt;height:164pt;z-index:-251628544;mso-width-relative:margin;mso-height-relative:margin">
            <v:textbox>
              <w:txbxContent>
                <w:p w:rsidR="00CD4689" w:rsidRPr="00AB2CB5" w:rsidRDefault="00245936" w:rsidP="00CD4689">
                  <w:pPr>
                    <w:rPr>
                      <w:rFonts w:ascii="Arial" w:hAnsi="Arial"/>
                      <w:color w:val="333333"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color w:val="333333"/>
                      <w:sz w:val="56"/>
                      <w:szCs w:val="56"/>
                    </w:rPr>
                    <w:t>Nativists</w:t>
                  </w:r>
                </w:p>
                <w:p w:rsidR="00CD4689" w:rsidRDefault="00CD4689" w:rsidP="00CD4689">
                  <w:pPr>
                    <w:rPr>
                      <w:rFonts w:ascii="Arial" w:hAnsi="Arial"/>
                      <w:color w:val="333333"/>
                    </w:rPr>
                  </w:pPr>
                </w:p>
                <w:p w:rsidR="00CD4689" w:rsidRPr="008D0C7A" w:rsidRDefault="00CD4689" w:rsidP="00CD4689"/>
              </w:txbxContent>
            </v:textbox>
          </v:shape>
        </w:pict>
      </w: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414114" w:rsidP="00CD46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55" type="#_x0000_t202" style="position:absolute;margin-left:241pt;margin-top:3.1pt;width:283pt;height:164pt;z-index:-251622400;mso-width-relative:margin;mso-height-relative:margin">
            <v:textbox style="mso-next-textbox:#_x0000_s1055">
              <w:txbxContent>
                <w:p w:rsidR="00245936" w:rsidRDefault="00245936" w:rsidP="0024593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eastAsiaTheme="minorHAnsi" w:hAnsi="Arial" w:cs="Arial"/>
                      <w:color w:val="000000"/>
                    </w:rPr>
                    <w:t>Foreign policy in which the United States opposed the involvement in international alliances, agreements, and wars.</w:t>
                  </w:r>
                  <w:proofErr w:type="gramEnd"/>
                </w:p>
                <w:p w:rsidR="00CD4689" w:rsidRPr="00245936" w:rsidRDefault="00CD4689" w:rsidP="00245936"/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054" type="#_x0000_t202" style="position:absolute;margin-left:-42pt;margin-top:3.1pt;width:283pt;height:164pt;z-index:-251623424;mso-width-relative:margin;mso-height-relative:margin">
            <v:textbox style="mso-next-textbox:#_x0000_s1054">
              <w:txbxContent>
                <w:p w:rsidR="00CD4689" w:rsidRPr="00A94581" w:rsidRDefault="00CD4689" w:rsidP="00CD4689">
                  <w:pPr>
                    <w:rPr>
                      <w:rFonts w:ascii="Arial" w:hAnsi="Arial"/>
                      <w:color w:val="333333"/>
                    </w:rPr>
                  </w:pPr>
                </w:p>
                <w:p w:rsidR="00CD4689" w:rsidRPr="00AB2CB5" w:rsidRDefault="00245936" w:rsidP="00CD4689">
                  <w:pPr>
                    <w:rPr>
                      <w:rFonts w:ascii="Arial" w:hAnsi="Arial"/>
                      <w:color w:val="333333"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color w:val="333333"/>
                      <w:sz w:val="56"/>
                      <w:szCs w:val="56"/>
                    </w:rPr>
                    <w:t xml:space="preserve">Isolationism </w:t>
                  </w:r>
                </w:p>
                <w:p w:rsidR="00CD4689" w:rsidRDefault="00CD4689" w:rsidP="00CD4689">
                  <w:pPr>
                    <w:rPr>
                      <w:rFonts w:ascii="Arial" w:hAnsi="Arial"/>
                      <w:color w:val="333333"/>
                    </w:rPr>
                  </w:pPr>
                </w:p>
                <w:p w:rsidR="00CD4689" w:rsidRPr="008D0C7A" w:rsidRDefault="00CD4689" w:rsidP="00CD4689"/>
              </w:txbxContent>
            </v:textbox>
          </v:shape>
        </w:pict>
      </w: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8D0C7A" w:rsidRDefault="008D0C7A" w:rsidP="008D0C7A">
      <w:pPr>
        <w:rPr>
          <w:rFonts w:ascii="Arial" w:hAnsi="Arial" w:cs="Arial"/>
          <w:b/>
          <w:bCs/>
        </w:rPr>
      </w:pPr>
    </w:p>
    <w:p w:rsidR="008D0C7A" w:rsidRDefault="008D0C7A" w:rsidP="00A94581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CD4689" w:rsidRDefault="00CD4689" w:rsidP="00CD4689">
      <w:pPr>
        <w:rPr>
          <w:rFonts w:ascii="Arial" w:hAnsi="Arial" w:cs="Arial"/>
          <w:b/>
          <w:bCs/>
        </w:rPr>
      </w:pPr>
    </w:p>
    <w:p w:rsidR="00A94581" w:rsidRPr="00A94581" w:rsidRDefault="00A94581" w:rsidP="00A94581">
      <w:pPr>
        <w:rPr>
          <w:rFonts w:ascii="Arial" w:hAnsi="Arial"/>
          <w:color w:val="333333"/>
        </w:rPr>
      </w:pPr>
    </w:p>
    <w:sectPr w:rsidR="00A94581" w:rsidRPr="00A94581" w:rsidSect="00CA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2BE6"/>
    <w:multiLevelType w:val="hybridMultilevel"/>
    <w:tmpl w:val="B832FECA"/>
    <w:lvl w:ilvl="0" w:tplc="1A708D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9003D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F904AA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1AB9E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50C9C3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E38CC7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8C366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88C18C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342442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4581"/>
    <w:rsid w:val="000A3292"/>
    <w:rsid w:val="000D4290"/>
    <w:rsid w:val="001F7F5D"/>
    <w:rsid w:val="00245936"/>
    <w:rsid w:val="00326C08"/>
    <w:rsid w:val="003B2D7E"/>
    <w:rsid w:val="00414114"/>
    <w:rsid w:val="005309FB"/>
    <w:rsid w:val="00576B66"/>
    <w:rsid w:val="005B249D"/>
    <w:rsid w:val="00843893"/>
    <w:rsid w:val="008D0C7A"/>
    <w:rsid w:val="00946FC9"/>
    <w:rsid w:val="00A94581"/>
    <w:rsid w:val="00AB2CB5"/>
    <w:rsid w:val="00CA1EB4"/>
    <w:rsid w:val="00CD4689"/>
    <w:rsid w:val="00E26AD8"/>
    <w:rsid w:val="00F02020"/>
    <w:rsid w:val="00F5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Byrd, Jennifer S</dc:creator>
  <cp:lastModifiedBy>Lowery, Joshua A</cp:lastModifiedBy>
  <cp:revision>3</cp:revision>
  <dcterms:created xsi:type="dcterms:W3CDTF">2013-01-15T16:06:00Z</dcterms:created>
  <dcterms:modified xsi:type="dcterms:W3CDTF">2014-02-07T19:38:00Z</dcterms:modified>
</cp:coreProperties>
</file>